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80"/>
        <w:rPr>
          <w:rFonts w:ascii="Times New Roman"/>
          <w:sz w:val="20"/>
        </w:rPr>
      </w:pPr>
      <w:r>
        <w:rPr>
          <w:rFonts w:ascii="Times New Roman"/>
          <w:sz w:val="20"/>
        </w:rPr>
        <w:drawing>
          <wp:inline distT="0" distB="0" distL="0" distR="0">
            <wp:extent cx="1860232" cy="620077"/>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860232" cy="620077"/>
                    </a:xfrm>
                    <a:prstGeom prst="rect">
                      <a:avLst/>
                    </a:prstGeom>
                  </pic:spPr>
                </pic:pic>
              </a:graphicData>
            </a:graphic>
          </wp:inline>
        </w:drawing>
      </w:r>
      <w:r>
        <w:rPr>
          <w:rFonts w:ascii="Times New Roman"/>
          <w:sz w:val="20"/>
        </w:rPr>
      </w:r>
    </w:p>
    <w:p>
      <w:pPr>
        <w:pStyle w:val="BodyText"/>
        <w:spacing w:before="2"/>
        <w:rPr>
          <w:rFonts w:ascii="Times New Roman"/>
          <w:sz w:val="21"/>
        </w:rPr>
      </w:pPr>
      <w:r>
        <w:rPr/>
        <w:drawing>
          <wp:anchor distT="0" distB="0" distL="0" distR="0" allowOverlap="1" layoutInCell="1" locked="0" behindDoc="0" simplePos="0" relativeHeight="0">
            <wp:simplePos x="0" y="0"/>
            <wp:positionH relativeFrom="page">
              <wp:posOffset>457200</wp:posOffset>
            </wp:positionH>
            <wp:positionV relativeFrom="paragraph">
              <wp:posOffset>179704</wp:posOffset>
            </wp:positionV>
            <wp:extent cx="6905625" cy="38100"/>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6905625" cy="38100"/>
                    </a:xfrm>
                    <a:prstGeom prst="rect">
                      <a:avLst/>
                    </a:prstGeom>
                  </pic:spPr>
                </pic:pic>
              </a:graphicData>
            </a:graphic>
          </wp:anchor>
        </w:drawing>
      </w:r>
    </w:p>
    <w:p>
      <w:pPr>
        <w:pStyle w:val="BodyText"/>
        <w:spacing w:before="7"/>
        <w:rPr>
          <w:rFonts w:ascii="Times New Roman"/>
          <w:sz w:val="9"/>
        </w:rPr>
      </w:pPr>
    </w:p>
    <w:p>
      <w:pPr>
        <w:spacing w:line="283" w:lineRule="auto" w:before="48"/>
        <w:ind w:left="4300" w:right="0" w:hanging="3885"/>
        <w:jc w:val="left"/>
        <w:rPr>
          <w:b/>
          <w:sz w:val="26"/>
        </w:rPr>
      </w:pPr>
      <w:r>
        <w:rPr>
          <w:b/>
          <w:sz w:val="26"/>
        </w:rPr>
        <w:t>¿Por qué las organizaciones deben transformarse digitalmente y crecer con una plataforma de contenidos completa?</w:t>
      </w:r>
    </w:p>
    <w:p>
      <w:pPr>
        <w:pStyle w:val="ListParagraph"/>
        <w:numPr>
          <w:ilvl w:val="0"/>
          <w:numId w:val="1"/>
        </w:numPr>
        <w:tabs>
          <w:tab w:pos="820" w:val="left" w:leader="none"/>
        </w:tabs>
        <w:spacing w:line="240" w:lineRule="auto" w:before="173" w:after="0"/>
        <w:ind w:left="820" w:right="178" w:hanging="360"/>
        <w:jc w:val="both"/>
        <w:rPr>
          <w:rFonts w:ascii="Arial" w:hAnsi="Arial"/>
          <w:i/>
          <w:sz w:val="24"/>
        </w:rPr>
      </w:pPr>
      <w:r>
        <w:rPr>
          <w:i/>
          <w:sz w:val="22"/>
        </w:rPr>
        <w:t>Hyland, referente en las plataformas de servicio de contenido y líder por más de 11 años en el Cuadrante Mágico </w:t>
      </w:r>
      <w:r>
        <w:rPr>
          <w:i/>
          <w:sz w:val="22"/>
        </w:rPr>
        <w:t>de Gartner, le cuenta cómo puede</w:t>
      </w:r>
      <w:r>
        <w:rPr>
          <w:i/>
          <w:spacing w:val="-8"/>
          <w:sz w:val="22"/>
        </w:rPr>
        <w:t> </w:t>
      </w:r>
      <w:r>
        <w:rPr>
          <w:i/>
          <w:sz w:val="22"/>
        </w:rPr>
        <w:t>lograrlo.</w:t>
      </w:r>
    </w:p>
    <w:p>
      <w:pPr>
        <w:pStyle w:val="BodyText"/>
        <w:spacing w:before="7"/>
        <w:rPr>
          <w:i/>
          <w:sz w:val="17"/>
        </w:rPr>
      </w:pPr>
    </w:p>
    <w:p>
      <w:pPr>
        <w:pStyle w:val="ListParagraph"/>
        <w:numPr>
          <w:ilvl w:val="0"/>
          <w:numId w:val="1"/>
        </w:numPr>
        <w:tabs>
          <w:tab w:pos="820" w:val="left" w:leader="none"/>
        </w:tabs>
        <w:spacing w:line="237" w:lineRule="auto" w:before="1" w:after="0"/>
        <w:ind w:left="820" w:right="183" w:hanging="360"/>
        <w:jc w:val="both"/>
        <w:rPr>
          <w:rFonts w:ascii="Arial" w:hAnsi="Arial"/>
          <w:i/>
          <w:sz w:val="22"/>
        </w:rPr>
      </w:pPr>
      <w:r>
        <w:rPr>
          <w:i/>
          <w:sz w:val="22"/>
        </w:rPr>
        <w:t>Hyland ha venido aumentando su presencia en Latinoamérica en los últimos años, apostándole al crecimiento de </w:t>
      </w:r>
      <w:r>
        <w:rPr>
          <w:i/>
          <w:sz w:val="22"/>
        </w:rPr>
        <w:t>la región y respondiendo a las nuevas necesidades de sus clientes en los que se incluyen: proveedores de atención médica, agencias gubernamentales, instituciones financieras, aseguradoras, instituciones educativas y otras organizaciones.</w:t>
      </w:r>
    </w:p>
    <w:p>
      <w:pPr>
        <w:pStyle w:val="BodyText"/>
        <w:spacing w:before="5"/>
        <w:rPr>
          <w:i/>
          <w:sz w:val="17"/>
        </w:rPr>
      </w:pPr>
    </w:p>
    <w:p>
      <w:pPr>
        <w:pStyle w:val="ListParagraph"/>
        <w:numPr>
          <w:ilvl w:val="0"/>
          <w:numId w:val="1"/>
        </w:numPr>
        <w:tabs>
          <w:tab w:pos="820" w:val="left" w:leader="none"/>
        </w:tabs>
        <w:spacing w:line="235" w:lineRule="auto" w:before="1" w:after="0"/>
        <w:ind w:left="820" w:right="179" w:hanging="360"/>
        <w:jc w:val="both"/>
        <w:rPr>
          <w:rFonts w:ascii="Arial" w:hAnsi="Arial"/>
          <w:i/>
          <w:sz w:val="22"/>
        </w:rPr>
      </w:pPr>
      <w:r>
        <w:rPr>
          <w:i/>
          <w:sz w:val="22"/>
        </w:rPr>
        <w:t>Más de 500 organizaciones en Latinoamérica y más de 16,000 en el mundo, aprovechan la plataforma de </w:t>
      </w:r>
      <w:r>
        <w:rPr>
          <w:i/>
          <w:sz w:val="22"/>
        </w:rPr>
        <w:t>servicios de contenido de Hyland para cumplir con sus imperativos de transformación digital, cumplimiento y experiencia del</w:t>
      </w:r>
      <w:r>
        <w:rPr>
          <w:i/>
          <w:spacing w:val="-3"/>
          <w:sz w:val="22"/>
        </w:rPr>
        <w:t> </w:t>
      </w:r>
      <w:r>
        <w:rPr>
          <w:i/>
          <w:sz w:val="22"/>
        </w:rPr>
        <w:t>cliente.</w:t>
      </w:r>
    </w:p>
    <w:p>
      <w:pPr>
        <w:pStyle w:val="BodyText"/>
        <w:spacing w:before="5"/>
        <w:rPr>
          <w:i/>
          <w:sz w:val="17"/>
        </w:rPr>
      </w:pPr>
    </w:p>
    <w:p>
      <w:pPr>
        <w:pStyle w:val="BodyText"/>
        <w:spacing w:line="237" w:lineRule="auto"/>
        <w:ind w:left="100" w:right="183"/>
        <w:jc w:val="both"/>
      </w:pPr>
      <w:r>
        <w:rPr>
          <w:b/>
        </w:rPr>
        <w:t>Panamá, 08 de febrero de 2021 </w:t>
      </w:r>
      <w:r>
        <w:rPr/>
        <w:t>– Los avances tecnológicos y la nueva normalidad han forzado a las organizaciones a redefinir su manera de trabajar y de organizarse, para ofrecer servicios y productos que cumplan con las necesidades actuales del entorno social en el que se desarrollan. Por lo anterior, se hace tangible la necesidad de adoptar plataformas de servicios de contenido más sólidas, conectadas e</w:t>
      </w:r>
      <w:r>
        <w:rPr>
          <w:spacing w:val="-15"/>
        </w:rPr>
        <w:t> </w:t>
      </w:r>
      <w:r>
        <w:rPr/>
        <w:t>innovadoras.</w:t>
      </w:r>
    </w:p>
    <w:p>
      <w:pPr>
        <w:pStyle w:val="BodyText"/>
        <w:spacing w:before="6"/>
        <w:rPr>
          <w:sz w:val="17"/>
        </w:rPr>
      </w:pPr>
    </w:p>
    <w:p>
      <w:pPr>
        <w:pStyle w:val="BodyText"/>
        <w:spacing w:line="235" w:lineRule="auto" w:before="1"/>
        <w:ind w:left="100" w:right="179"/>
        <w:jc w:val="both"/>
      </w:pPr>
      <w:r>
        <w:rPr/>
        <w:t>Durante 11 años consecutivos, Hyland ha sido nombrada como líder en el </w:t>
      </w:r>
      <w:r>
        <w:rPr>
          <w:b/>
        </w:rPr>
        <w:t>Cuadrante Mágico de Gartner para las plataformas de servicios de contenido</w:t>
      </w:r>
      <w:r>
        <w:rPr/>
        <w:t>*. Ahora Alfresco, su más reciente adquisición también ha recibido esta clasificación que permite a sus clientes contar con garantías en los servicios de transformación digital que son ejemplo del desarrollo tecnológico que deben acoger las organizaciones para no quedarse atrás frente a las exigencias del mercado actual.</w:t>
      </w:r>
    </w:p>
    <w:p>
      <w:pPr>
        <w:pStyle w:val="BodyText"/>
        <w:spacing w:before="2"/>
        <w:rPr>
          <w:sz w:val="17"/>
        </w:rPr>
      </w:pPr>
    </w:p>
    <w:p>
      <w:pPr>
        <w:spacing w:before="0"/>
        <w:ind w:left="100" w:right="180" w:firstLine="0"/>
        <w:jc w:val="both"/>
        <w:rPr>
          <w:i/>
          <w:sz w:val="22"/>
        </w:rPr>
      </w:pPr>
      <w:r>
        <w:rPr>
          <w:i/>
          <w:sz w:val="22"/>
        </w:rPr>
        <w:t>"Nuestras fortalezas combinadas - incluyendo la innovación de productos, la experiencia en la industria y el enfoque en el </w:t>
      </w:r>
      <w:r>
        <w:rPr>
          <w:i/>
          <w:sz w:val="22"/>
        </w:rPr>
        <w:t>cliente - aseguran que nuestros clientes tengan las soluciones más avanzadas para la gestión de contenido y procesos ahora y en el futuro", afirmó </w:t>
      </w:r>
      <w:r>
        <w:rPr>
          <w:b/>
          <w:sz w:val="22"/>
        </w:rPr>
        <w:t>Bill Priemer, presidente y director ejecutivo de Hyland</w:t>
      </w:r>
      <w:r>
        <w:rPr>
          <w:i/>
          <w:sz w:val="22"/>
        </w:rPr>
        <w:t>.</w:t>
      </w:r>
    </w:p>
    <w:p>
      <w:pPr>
        <w:pStyle w:val="BodyText"/>
        <w:spacing w:before="6"/>
        <w:rPr>
          <w:i/>
          <w:sz w:val="16"/>
        </w:rPr>
      </w:pPr>
    </w:p>
    <w:p>
      <w:pPr>
        <w:spacing w:line="237" w:lineRule="auto" w:before="0"/>
        <w:ind w:left="100" w:right="178" w:firstLine="0"/>
        <w:jc w:val="both"/>
        <w:rPr>
          <w:sz w:val="22"/>
        </w:rPr>
      </w:pPr>
      <w:r>
        <w:rPr>
          <w:sz w:val="22"/>
        </w:rPr>
        <w:t>En los últimos años, </w:t>
      </w:r>
      <w:r>
        <w:rPr>
          <w:b/>
          <w:sz w:val="22"/>
        </w:rPr>
        <w:t>Hyland ha presentado un crecimiento sostenible de entre el 15 % y 20% en Latinoamérica</w:t>
      </w:r>
      <w:r>
        <w:rPr>
          <w:sz w:val="22"/>
        </w:rPr>
        <w:t>, posicionándose como una empresa líder en la implementación de la transformación digital en empresas de cualquier sector industrial, al dar relevancia y continuidad a la data, la cual puede  llegar a </w:t>
      </w:r>
      <w:r>
        <w:rPr>
          <w:b/>
          <w:sz w:val="22"/>
        </w:rPr>
        <w:t>mejorar los procesos productivos  entre un 75% y un 90%</w:t>
      </w:r>
      <w:r>
        <w:rPr>
          <w:sz w:val="22"/>
        </w:rPr>
        <w:t>. Otros aspectos tecnológicos útiles para las organizaciones comprenden la ciberseguridad  dentro de la red interna de trabajo y especialmente, el manejo de contenido en la</w:t>
      </w:r>
      <w:r>
        <w:rPr>
          <w:spacing w:val="-26"/>
          <w:sz w:val="22"/>
        </w:rPr>
        <w:t> </w:t>
      </w:r>
      <w:r>
        <w:rPr>
          <w:sz w:val="22"/>
        </w:rPr>
        <w:t>nube.</w:t>
      </w:r>
    </w:p>
    <w:p>
      <w:pPr>
        <w:pStyle w:val="BodyText"/>
        <w:spacing w:before="8"/>
        <w:rPr>
          <w:sz w:val="17"/>
        </w:rPr>
      </w:pPr>
    </w:p>
    <w:p>
      <w:pPr>
        <w:pStyle w:val="BodyText"/>
        <w:spacing w:line="237" w:lineRule="auto"/>
        <w:ind w:left="100" w:right="180"/>
        <w:jc w:val="both"/>
      </w:pPr>
      <w:r>
        <w:rPr/>
        <w:t>En Panamá, los servicios de plataformas de contenidos que más se requieren por parte de las organizaciones son: la automatización de procesos, visión 360° de clientes y colaboradores, cumplimiento de regulaciones, entre otros. Este tipo de servicios hacen parte de un portafolio de contenido completo que abarca la mayoría de opciones para solucionar las necesidades de la empresa de forma escalable y segura, además de acompañar todo el proceso de manera consultiva, identificando las prioridades para las</w:t>
      </w:r>
      <w:r>
        <w:rPr>
          <w:spacing w:val="-9"/>
        </w:rPr>
        <w:t> </w:t>
      </w:r>
      <w:r>
        <w:rPr/>
        <w:t>organizaciones.</w:t>
      </w:r>
    </w:p>
    <w:p>
      <w:pPr>
        <w:pStyle w:val="BodyText"/>
        <w:spacing w:before="6"/>
        <w:rPr>
          <w:sz w:val="17"/>
        </w:rPr>
      </w:pPr>
    </w:p>
    <w:p>
      <w:pPr>
        <w:spacing w:line="240" w:lineRule="auto" w:before="0"/>
        <w:ind w:left="100" w:right="179" w:firstLine="0"/>
        <w:jc w:val="both"/>
        <w:rPr>
          <w:i/>
          <w:sz w:val="22"/>
        </w:rPr>
      </w:pPr>
      <w:r>
        <w:rPr>
          <w:sz w:val="22"/>
        </w:rPr>
        <w:t>En ese sentido, Hyland recomienda a las organizaciones, contar previamente con un panorama completo de todas las áreas de trabajo, identificar las necesidades en cuanto a temas de productividad e identificar cómo se puede digitalizar de manera más práctica los diferentes procesos que arrojen resultados de manera eficiente y rápida. El uso de la tecnología en las organizaciones mejora de manera significativa la productividad, y los resultados empresariales se ven favorecidos en un 100% , gracias al buen rendimiento de los empleados, el flujo de la información y los procesos. </w:t>
      </w:r>
      <w:r>
        <w:rPr>
          <w:i/>
          <w:sz w:val="22"/>
        </w:rPr>
        <w:t>"La </w:t>
      </w:r>
      <w:r>
        <w:rPr>
          <w:i/>
          <w:sz w:val="22"/>
        </w:rPr>
        <w:t>cultura empresarial actual requiere una tecnología rica que permita a los empleados trabajar de la manera en que mejor lo hacen, ya sea en una oficina física o desde su casa", </w:t>
      </w:r>
      <w:r>
        <w:rPr>
          <w:b/>
          <w:sz w:val="22"/>
        </w:rPr>
        <w:t>comentó John Phelan, vicepresidente ejecutivo y director de productos de Hyland</w:t>
      </w:r>
      <w:r>
        <w:rPr>
          <w:i/>
          <w:sz w:val="22"/>
        </w:rPr>
        <w:t>.</w:t>
      </w:r>
    </w:p>
    <w:p>
      <w:pPr>
        <w:spacing w:after="0" w:line="240" w:lineRule="auto"/>
        <w:jc w:val="both"/>
        <w:rPr>
          <w:sz w:val="22"/>
        </w:rPr>
        <w:sectPr>
          <w:type w:val="continuous"/>
          <w:pgSz w:w="12240" w:h="15840"/>
          <w:pgMar w:top="720" w:bottom="280" w:left="620" w:right="540"/>
        </w:sectPr>
      </w:pPr>
    </w:p>
    <w:p>
      <w:pPr>
        <w:pStyle w:val="BodyText"/>
        <w:spacing w:line="235" w:lineRule="auto" w:before="44"/>
        <w:ind w:left="100" w:right="191"/>
        <w:jc w:val="both"/>
      </w:pPr>
      <w:r>
        <w:rPr/>
        <w:t>Contar con una la plataforma de servicios de contenido </w:t>
      </w:r>
      <w:r>
        <w:rPr>
          <w:i/>
        </w:rPr>
        <w:t>low-code </w:t>
      </w:r>
      <w:r>
        <w:rPr/>
        <w:t>ayuda a las organizaciones a administrar todo el ciclo de vida de la información, a transformar los procesos, a reducir los riesgos de seguridad y cumplimiento, y a ayudar a los usuarios a tomar decisiones más informadas.</w:t>
      </w:r>
    </w:p>
    <w:p>
      <w:pPr>
        <w:pStyle w:val="BodyText"/>
        <w:spacing w:before="2"/>
        <w:rPr>
          <w:sz w:val="18"/>
        </w:rPr>
      </w:pPr>
    </w:p>
    <w:p>
      <w:pPr>
        <w:spacing w:line="228" w:lineRule="auto" w:before="0"/>
        <w:ind w:left="100" w:right="182" w:firstLine="0"/>
        <w:jc w:val="both"/>
        <w:rPr>
          <w:sz w:val="22"/>
        </w:rPr>
      </w:pPr>
      <w:r>
        <w:rPr>
          <w:sz w:val="22"/>
        </w:rPr>
        <w:t>Para saber más acerca de por qué Gartner reconoce tanto a Hyland como a Alfresco como líderes, </w:t>
      </w:r>
      <w:r>
        <w:rPr>
          <w:b/>
          <w:sz w:val="22"/>
        </w:rPr>
        <w:t>descargue una copia gratuita del </w:t>
      </w:r>
      <w:hyperlink r:id="rId7">
        <w:r>
          <w:rPr>
            <w:b/>
            <w:color w:val="1154CC"/>
            <w:sz w:val="22"/>
            <w:u w:val="single" w:color="1154CC"/>
          </w:rPr>
          <w:t>Cuadrante Mágico 2020 de Gartner</w:t>
        </w:r>
        <w:r>
          <w:rPr>
            <w:b/>
            <w:color w:val="1154CC"/>
            <w:sz w:val="22"/>
          </w:rPr>
          <w:t> </w:t>
        </w:r>
      </w:hyperlink>
      <w:r>
        <w:rPr>
          <w:sz w:val="22"/>
        </w:rPr>
        <w:t>para las plataformas de servicios de contenido.</w:t>
      </w:r>
    </w:p>
    <w:p>
      <w:pPr>
        <w:pStyle w:val="BodyText"/>
        <w:rPr>
          <w:sz w:val="13"/>
        </w:rPr>
      </w:pPr>
    </w:p>
    <w:p>
      <w:pPr>
        <w:spacing w:line="228" w:lineRule="auto" w:before="66"/>
        <w:ind w:left="100" w:right="185" w:firstLine="0"/>
        <w:jc w:val="both"/>
        <w:rPr>
          <w:sz w:val="22"/>
        </w:rPr>
      </w:pPr>
      <w:r>
        <w:rPr>
          <w:sz w:val="22"/>
        </w:rPr>
        <w:t>*Gartner</w:t>
      </w:r>
      <w:r>
        <w:rPr>
          <w:spacing w:val="-7"/>
          <w:sz w:val="22"/>
        </w:rPr>
        <w:t> </w:t>
      </w:r>
      <w:r>
        <w:rPr>
          <w:sz w:val="22"/>
        </w:rPr>
        <w:t>Inc.,</w:t>
      </w:r>
      <w:r>
        <w:rPr>
          <w:spacing w:val="-6"/>
          <w:sz w:val="22"/>
        </w:rPr>
        <w:t> </w:t>
      </w:r>
      <w:r>
        <w:rPr>
          <w:b/>
          <w:sz w:val="22"/>
        </w:rPr>
        <w:t>Cuadrante</w:t>
      </w:r>
      <w:r>
        <w:rPr>
          <w:b/>
          <w:spacing w:val="-7"/>
          <w:sz w:val="22"/>
        </w:rPr>
        <w:t> </w:t>
      </w:r>
      <w:r>
        <w:rPr>
          <w:b/>
          <w:sz w:val="22"/>
        </w:rPr>
        <w:t>Mágico</w:t>
      </w:r>
      <w:r>
        <w:rPr>
          <w:b/>
          <w:spacing w:val="-6"/>
          <w:sz w:val="22"/>
        </w:rPr>
        <w:t> </w:t>
      </w:r>
      <w:r>
        <w:rPr>
          <w:b/>
          <w:sz w:val="22"/>
        </w:rPr>
        <w:t>para</w:t>
      </w:r>
      <w:r>
        <w:rPr>
          <w:b/>
          <w:spacing w:val="-6"/>
          <w:sz w:val="22"/>
        </w:rPr>
        <w:t> </w:t>
      </w:r>
      <w:r>
        <w:rPr>
          <w:b/>
          <w:sz w:val="22"/>
        </w:rPr>
        <w:t>las</w:t>
      </w:r>
      <w:r>
        <w:rPr>
          <w:b/>
          <w:spacing w:val="-7"/>
          <w:sz w:val="22"/>
        </w:rPr>
        <w:t> </w:t>
      </w:r>
      <w:r>
        <w:rPr>
          <w:b/>
          <w:sz w:val="22"/>
        </w:rPr>
        <w:t>plataformas</w:t>
      </w:r>
      <w:r>
        <w:rPr>
          <w:b/>
          <w:spacing w:val="-6"/>
          <w:sz w:val="22"/>
        </w:rPr>
        <w:t> </w:t>
      </w:r>
      <w:r>
        <w:rPr>
          <w:b/>
          <w:sz w:val="22"/>
        </w:rPr>
        <w:t>de</w:t>
      </w:r>
      <w:r>
        <w:rPr>
          <w:b/>
          <w:spacing w:val="-7"/>
          <w:sz w:val="22"/>
        </w:rPr>
        <w:t> </w:t>
      </w:r>
      <w:r>
        <w:rPr>
          <w:b/>
          <w:sz w:val="22"/>
        </w:rPr>
        <w:t>servicios</w:t>
      </w:r>
      <w:r>
        <w:rPr>
          <w:b/>
          <w:spacing w:val="-6"/>
          <w:sz w:val="22"/>
        </w:rPr>
        <w:t> </w:t>
      </w:r>
      <w:r>
        <w:rPr>
          <w:b/>
          <w:sz w:val="22"/>
        </w:rPr>
        <w:t>de</w:t>
      </w:r>
      <w:r>
        <w:rPr>
          <w:b/>
          <w:spacing w:val="-6"/>
          <w:sz w:val="22"/>
        </w:rPr>
        <w:t> </w:t>
      </w:r>
      <w:r>
        <w:rPr>
          <w:b/>
          <w:sz w:val="22"/>
        </w:rPr>
        <w:t>contenido</w:t>
      </w:r>
      <w:r>
        <w:rPr>
          <w:b/>
          <w:spacing w:val="-7"/>
          <w:sz w:val="22"/>
        </w:rPr>
        <w:t> </w:t>
      </w:r>
      <w:r>
        <w:rPr>
          <w:b/>
          <w:sz w:val="22"/>
        </w:rPr>
        <w:t>Michael</w:t>
      </w:r>
      <w:r>
        <w:rPr>
          <w:b/>
          <w:spacing w:val="-6"/>
          <w:sz w:val="22"/>
        </w:rPr>
        <w:t> </w:t>
      </w:r>
      <w:r>
        <w:rPr>
          <w:b/>
          <w:sz w:val="22"/>
        </w:rPr>
        <w:t>Woodbridg</w:t>
      </w:r>
      <w:r>
        <w:rPr>
          <w:sz w:val="22"/>
        </w:rPr>
        <w:t>e,</w:t>
      </w:r>
      <w:r>
        <w:rPr>
          <w:spacing w:val="-7"/>
          <w:sz w:val="22"/>
        </w:rPr>
        <w:t> </w:t>
      </w:r>
      <w:r>
        <w:rPr>
          <w:sz w:val="22"/>
        </w:rPr>
        <w:t>Marko</w:t>
      </w:r>
      <w:r>
        <w:rPr>
          <w:spacing w:val="-6"/>
          <w:sz w:val="22"/>
        </w:rPr>
        <w:t> </w:t>
      </w:r>
      <w:r>
        <w:rPr>
          <w:sz w:val="22"/>
        </w:rPr>
        <w:t>Sillanpaa, Lane Severson, 16 de noviembre,</w:t>
      </w:r>
      <w:r>
        <w:rPr>
          <w:spacing w:val="-6"/>
          <w:sz w:val="22"/>
        </w:rPr>
        <w:t> </w:t>
      </w:r>
      <w:r>
        <w:rPr>
          <w:sz w:val="22"/>
        </w:rPr>
        <w:t>2020</w:t>
      </w:r>
    </w:p>
    <w:p>
      <w:pPr>
        <w:pStyle w:val="BodyText"/>
      </w:pPr>
    </w:p>
    <w:p>
      <w:pPr>
        <w:pStyle w:val="BodyText"/>
      </w:pPr>
    </w:p>
    <w:p>
      <w:pPr>
        <w:pStyle w:val="Heading1"/>
        <w:spacing w:before="143"/>
      </w:pPr>
      <w:r>
        <w:rPr/>
        <w:t>Acerca de Hyland</w:t>
      </w:r>
    </w:p>
    <w:p>
      <w:pPr>
        <w:pStyle w:val="BodyText"/>
        <w:spacing w:before="1"/>
        <w:ind w:left="100" w:right="100"/>
      </w:pPr>
      <w:r>
        <w:rPr/>
        <w:t>Hyland</w:t>
      </w:r>
      <w:r>
        <w:rPr>
          <w:spacing w:val="-6"/>
        </w:rPr>
        <w:t> </w:t>
      </w:r>
      <w:r>
        <w:rPr/>
        <w:t>es</w:t>
      </w:r>
      <w:r>
        <w:rPr>
          <w:spacing w:val="-5"/>
        </w:rPr>
        <w:t> </w:t>
      </w:r>
      <w:r>
        <w:rPr/>
        <w:t>un</w:t>
      </w:r>
      <w:r>
        <w:rPr>
          <w:spacing w:val="-5"/>
        </w:rPr>
        <w:t> </w:t>
      </w:r>
      <w:r>
        <w:rPr/>
        <w:t>proveedor</w:t>
      </w:r>
      <w:r>
        <w:rPr>
          <w:spacing w:val="-5"/>
        </w:rPr>
        <w:t> </w:t>
      </w:r>
      <w:r>
        <w:rPr/>
        <w:t>líder</w:t>
      </w:r>
      <w:r>
        <w:rPr>
          <w:spacing w:val="-6"/>
        </w:rPr>
        <w:t> </w:t>
      </w:r>
      <w:r>
        <w:rPr/>
        <w:t>de</w:t>
      </w:r>
      <w:r>
        <w:rPr>
          <w:spacing w:val="-5"/>
        </w:rPr>
        <w:t> </w:t>
      </w:r>
      <w:r>
        <w:rPr/>
        <w:t>servicios</w:t>
      </w:r>
      <w:r>
        <w:rPr>
          <w:spacing w:val="-5"/>
        </w:rPr>
        <w:t> </w:t>
      </w:r>
      <w:r>
        <w:rPr/>
        <w:t>de</w:t>
      </w:r>
      <w:r>
        <w:rPr>
          <w:spacing w:val="-5"/>
        </w:rPr>
        <w:t> </w:t>
      </w:r>
      <w:r>
        <w:rPr/>
        <w:t>contenido</w:t>
      </w:r>
      <w:r>
        <w:rPr>
          <w:spacing w:val="-5"/>
        </w:rPr>
        <w:t> </w:t>
      </w:r>
      <w:r>
        <w:rPr/>
        <w:t>que</w:t>
      </w:r>
      <w:r>
        <w:rPr>
          <w:spacing w:val="-6"/>
        </w:rPr>
        <w:t> </w:t>
      </w:r>
      <w:r>
        <w:rPr/>
        <w:t>permite</w:t>
      </w:r>
      <w:r>
        <w:rPr>
          <w:spacing w:val="-5"/>
        </w:rPr>
        <w:t> </w:t>
      </w:r>
      <w:r>
        <w:rPr/>
        <w:t>a</w:t>
      </w:r>
      <w:r>
        <w:rPr>
          <w:spacing w:val="-5"/>
        </w:rPr>
        <w:t> </w:t>
      </w:r>
      <w:r>
        <w:rPr/>
        <w:t>miles</w:t>
      </w:r>
      <w:r>
        <w:rPr>
          <w:spacing w:val="-5"/>
        </w:rPr>
        <w:t> </w:t>
      </w:r>
      <w:r>
        <w:rPr/>
        <w:t>de</w:t>
      </w:r>
      <w:r>
        <w:rPr>
          <w:spacing w:val="-6"/>
        </w:rPr>
        <w:t> </w:t>
      </w:r>
      <w:r>
        <w:rPr/>
        <w:t>organizaciones</w:t>
      </w:r>
      <w:r>
        <w:rPr>
          <w:spacing w:val="-5"/>
        </w:rPr>
        <w:t> </w:t>
      </w:r>
      <w:r>
        <w:rPr/>
        <w:t>ofrecer</w:t>
      </w:r>
      <w:r>
        <w:rPr>
          <w:spacing w:val="-5"/>
        </w:rPr>
        <w:t> </w:t>
      </w:r>
      <w:r>
        <w:rPr/>
        <w:t>mejores experiencias a las personas a las que sirven. Visítenos en</w:t>
      </w:r>
      <w:r>
        <w:rPr>
          <w:spacing w:val="-16"/>
        </w:rPr>
        <w:t> </w:t>
      </w:r>
      <w:r>
        <w:rPr/>
        <w:t>Hyland.com.</w:t>
      </w:r>
    </w:p>
    <w:p>
      <w:pPr>
        <w:pStyle w:val="BodyText"/>
        <w:spacing w:before="6"/>
      </w:pPr>
    </w:p>
    <w:p>
      <w:pPr>
        <w:pStyle w:val="BodyText"/>
        <w:spacing w:line="237" w:lineRule="auto" w:before="1"/>
        <w:ind w:left="100" w:right="178"/>
        <w:jc w:val="both"/>
      </w:pPr>
      <w:r>
        <w:rPr>
          <w:b/>
        </w:rPr>
        <w:t>Descargo de responsabilidades de Gartner: </w:t>
      </w:r>
      <w:r>
        <w:rPr/>
        <w:t>Gartner no promociona ninguno de los proveedores, productos o servicios descritos en sus publicaciones de investigación y tampoco aconseja a los usuarios de tecnología a seleccionar solo aquellos proveedores con las calificaciones más altas. Las publicaciones de investigación de Gartner expresan las opiniones de la organización de investigación de Gartner y no deben ser interpretadas como declaraciones de hecho. Gartner renuncia a cualquier tipo de garantía, expresa o implícita, con relación a esta investigación, incluyendo cualquier garantía de comerciabilidad o idoneidad para un propósito</w:t>
      </w:r>
      <w:r>
        <w:rPr>
          <w:spacing w:val="-13"/>
        </w:rPr>
        <w:t> </w:t>
      </w:r>
      <w:r>
        <w:rPr/>
        <w:t>particular.</w:t>
      </w:r>
    </w:p>
    <w:p>
      <w:pPr>
        <w:pStyle w:val="BodyText"/>
        <w:spacing w:before="8"/>
        <w:rPr>
          <w:sz w:val="17"/>
        </w:rPr>
      </w:pPr>
    </w:p>
    <w:p>
      <w:pPr>
        <w:pStyle w:val="Heading1"/>
        <w:spacing w:line="540" w:lineRule="atLeast"/>
        <w:ind w:right="6590"/>
      </w:pPr>
      <w:r>
        <w:rPr/>
        <w:t>Contacto para medios de comunicación: Another Company</w:t>
      </w:r>
    </w:p>
    <w:p>
      <w:pPr>
        <w:pStyle w:val="BodyText"/>
        <w:spacing w:line="255" w:lineRule="exact"/>
        <w:ind w:left="100"/>
      </w:pPr>
      <w:r>
        <w:rPr/>
        <w:t>Antonella Pardi</w:t>
      </w:r>
    </w:p>
    <w:p>
      <w:pPr>
        <w:pStyle w:val="BodyText"/>
        <w:spacing w:before="2"/>
        <w:ind w:left="100" w:right="8561"/>
      </w:pPr>
      <w:r>
        <w:rPr/>
        <w:t>Ejecutivo de Cuenta Senior Cel: (+507) 6893 2122</w:t>
      </w:r>
    </w:p>
    <w:p>
      <w:pPr>
        <w:pStyle w:val="BodyText"/>
        <w:spacing w:before="3"/>
        <w:ind w:left="100"/>
      </w:pPr>
      <w:hyperlink r:id="rId8">
        <w:r>
          <w:rPr>
            <w:color w:val="1154CC"/>
            <w:u w:val="single" w:color="1154CC"/>
          </w:rPr>
          <w:t>antonella.pardi@another.co</w:t>
        </w:r>
      </w:hyperlink>
    </w:p>
    <w:sectPr>
      <w:pgSz w:w="12240" w:h="15840"/>
      <w:pgMar w:top="680" w:bottom="280" w:left="62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0"/>
      </w:pPr>
      <w:rPr>
        <w:rFonts w:hint="default"/>
        <w:i/>
        <w:spacing w:val="-1"/>
        <w:w w:val="100"/>
        <w:lang w:val="es-ES" w:eastAsia="es-ES" w:bidi="es-ES"/>
      </w:rPr>
    </w:lvl>
    <w:lvl w:ilvl="1">
      <w:start w:val="0"/>
      <w:numFmt w:val="bullet"/>
      <w:lvlText w:val="•"/>
      <w:lvlJc w:val="left"/>
      <w:pPr>
        <w:ind w:left="1846" w:hanging="360"/>
      </w:pPr>
      <w:rPr>
        <w:rFonts w:hint="default"/>
        <w:lang w:val="es-ES" w:eastAsia="es-ES" w:bidi="es-ES"/>
      </w:rPr>
    </w:lvl>
    <w:lvl w:ilvl="2">
      <w:start w:val="0"/>
      <w:numFmt w:val="bullet"/>
      <w:lvlText w:val="•"/>
      <w:lvlJc w:val="left"/>
      <w:pPr>
        <w:ind w:left="2872" w:hanging="360"/>
      </w:pPr>
      <w:rPr>
        <w:rFonts w:hint="default"/>
        <w:lang w:val="es-ES" w:eastAsia="es-ES" w:bidi="es-ES"/>
      </w:rPr>
    </w:lvl>
    <w:lvl w:ilvl="3">
      <w:start w:val="0"/>
      <w:numFmt w:val="bullet"/>
      <w:lvlText w:val="•"/>
      <w:lvlJc w:val="left"/>
      <w:pPr>
        <w:ind w:left="3898" w:hanging="360"/>
      </w:pPr>
      <w:rPr>
        <w:rFonts w:hint="default"/>
        <w:lang w:val="es-ES" w:eastAsia="es-ES" w:bidi="es-ES"/>
      </w:rPr>
    </w:lvl>
    <w:lvl w:ilvl="4">
      <w:start w:val="0"/>
      <w:numFmt w:val="bullet"/>
      <w:lvlText w:val="•"/>
      <w:lvlJc w:val="left"/>
      <w:pPr>
        <w:ind w:left="4924" w:hanging="360"/>
      </w:pPr>
      <w:rPr>
        <w:rFonts w:hint="default"/>
        <w:lang w:val="es-ES" w:eastAsia="es-ES" w:bidi="es-ES"/>
      </w:rPr>
    </w:lvl>
    <w:lvl w:ilvl="5">
      <w:start w:val="0"/>
      <w:numFmt w:val="bullet"/>
      <w:lvlText w:val="•"/>
      <w:lvlJc w:val="left"/>
      <w:pPr>
        <w:ind w:left="5950" w:hanging="360"/>
      </w:pPr>
      <w:rPr>
        <w:rFonts w:hint="default"/>
        <w:lang w:val="es-ES" w:eastAsia="es-ES" w:bidi="es-ES"/>
      </w:rPr>
    </w:lvl>
    <w:lvl w:ilvl="6">
      <w:start w:val="0"/>
      <w:numFmt w:val="bullet"/>
      <w:lvlText w:val="•"/>
      <w:lvlJc w:val="left"/>
      <w:pPr>
        <w:ind w:left="6976" w:hanging="360"/>
      </w:pPr>
      <w:rPr>
        <w:rFonts w:hint="default"/>
        <w:lang w:val="es-ES" w:eastAsia="es-ES" w:bidi="es-ES"/>
      </w:rPr>
    </w:lvl>
    <w:lvl w:ilvl="7">
      <w:start w:val="0"/>
      <w:numFmt w:val="bullet"/>
      <w:lvlText w:val="•"/>
      <w:lvlJc w:val="left"/>
      <w:pPr>
        <w:ind w:left="8002" w:hanging="360"/>
      </w:pPr>
      <w:rPr>
        <w:rFonts w:hint="default"/>
        <w:lang w:val="es-ES" w:eastAsia="es-ES" w:bidi="es-ES"/>
      </w:rPr>
    </w:lvl>
    <w:lvl w:ilvl="8">
      <w:start w:val="0"/>
      <w:numFmt w:val="bullet"/>
      <w:lvlText w:val="•"/>
      <w:lvlJc w:val="left"/>
      <w:pPr>
        <w:ind w:left="9028" w:hanging="360"/>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s-ES" w:bidi="es-ES"/>
    </w:rPr>
  </w:style>
  <w:style w:styleId="BodyText" w:type="paragraph">
    <w:name w:val="Body Text"/>
    <w:basedOn w:val="Normal"/>
    <w:uiPriority w:val="1"/>
    <w:qFormat/>
    <w:pPr/>
    <w:rPr>
      <w:rFonts w:ascii="Calibri" w:hAnsi="Calibri" w:eastAsia="Calibri" w:cs="Calibri"/>
      <w:sz w:val="22"/>
      <w:szCs w:val="22"/>
      <w:lang w:val="es-ES" w:eastAsia="es-ES" w:bidi="es-ES"/>
    </w:rPr>
  </w:style>
  <w:style w:styleId="Heading1" w:type="paragraph">
    <w:name w:val="Heading 1"/>
    <w:basedOn w:val="Normal"/>
    <w:uiPriority w:val="1"/>
    <w:qFormat/>
    <w:pPr>
      <w:ind w:left="100"/>
      <w:outlineLvl w:val="1"/>
    </w:pPr>
    <w:rPr>
      <w:rFonts w:ascii="Calibri" w:hAnsi="Calibri" w:eastAsia="Calibri" w:cs="Calibri"/>
      <w:b/>
      <w:bCs/>
      <w:sz w:val="22"/>
      <w:szCs w:val="22"/>
      <w:lang w:val="es-ES" w:eastAsia="es-ES" w:bidi="es-ES"/>
    </w:rPr>
  </w:style>
  <w:style w:styleId="ListParagraph" w:type="paragraph">
    <w:name w:val="List Paragraph"/>
    <w:basedOn w:val="Normal"/>
    <w:uiPriority w:val="1"/>
    <w:qFormat/>
    <w:pPr>
      <w:spacing w:before="1"/>
      <w:ind w:left="820" w:right="178" w:hanging="360"/>
      <w:jc w:val="both"/>
    </w:pPr>
    <w:rPr>
      <w:rFonts w:ascii="Calibri" w:hAnsi="Calibri" w:eastAsia="Calibri" w:cs="Calibri"/>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s://www.hyland.com/es-MX/explore/gartner-magic-quadrant-for-content-services-platforms" TargetMode="External"/><Relationship Id="rId8" Type="http://schemas.openxmlformats.org/officeDocument/2006/relationships/hyperlink" Target="mailto:antonella.pardi@another.co"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2021-02-08T16:47:16Z</dcterms:created>
  <dcterms:modified xsi:type="dcterms:W3CDTF">2021-02-08T16:47:16Z</dcterms:modified>
</cp:coreProperties>
</file>